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202A0" w14:textId="77777777" w:rsidR="00EF2C0F" w:rsidRDefault="00EF2C0F" w:rsidP="00EF2C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b/>
          <w:sz w:val="24"/>
          <w:szCs w:val="20"/>
          <w:lang w:val="en-GB" w:eastAsia="zh-CN"/>
        </w:rPr>
        <w:t>#103-e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Pr>
          <w:rFonts w:ascii="Arial" w:eastAsia="宋体" w:hAnsi="Arial" w:cs="Times New Roman"/>
          <w:b/>
          <w:bCs/>
          <w:sz w:val="24"/>
          <w:szCs w:val="20"/>
          <w:lang w:val="en-GB" w:eastAsia="ja-JP"/>
        </w:rPr>
        <w:t>R4-2208085</w:t>
      </w:r>
    </w:p>
    <w:bookmarkEnd w:id="0"/>
    <w:bookmarkEnd w:id="1"/>
    <w:p w14:paraId="746BA4E4" w14:textId="77777777" w:rsidR="00EF2C0F" w:rsidRDefault="00EF2C0F" w:rsidP="00EF2C0F">
      <w:pPr>
        <w:pStyle w:val="Header"/>
        <w:tabs>
          <w:tab w:val="left" w:pos="2160"/>
        </w:tabs>
        <w:ind w:left="2127" w:hanging="2127"/>
        <w:jc w:val="both"/>
        <w:rPr>
          <w:noProof w:val="0"/>
          <w:sz w:val="24"/>
          <w:vertAlign w:val="superscript"/>
        </w:rPr>
      </w:pPr>
      <w:r>
        <w:rPr>
          <w:noProof w:val="0"/>
          <w:sz w:val="24"/>
        </w:rPr>
        <w:t>Electrical Meeting, 9</w:t>
      </w:r>
      <w:r>
        <w:rPr>
          <w:noProof w:val="0"/>
          <w:sz w:val="24"/>
          <w:vertAlign w:val="superscript"/>
        </w:rPr>
        <w:t>th</w:t>
      </w:r>
      <w:r>
        <w:rPr>
          <w:noProof w:val="0"/>
          <w:sz w:val="24"/>
        </w:rPr>
        <w:t xml:space="preserve"> May-20</w:t>
      </w:r>
      <w:r>
        <w:rPr>
          <w:noProof w:val="0"/>
          <w:sz w:val="24"/>
          <w:vertAlign w:val="superscript"/>
        </w:rPr>
        <w:t>th</w:t>
      </w:r>
      <w:r>
        <w:rPr>
          <w:noProof w:val="0"/>
          <w:sz w:val="24"/>
        </w:rPr>
        <w:t xml:space="preserve"> May, 2022</w:t>
      </w:r>
    </w:p>
    <w:p w14:paraId="60A1A6E7" w14:textId="77777777" w:rsidR="00EF2C0F" w:rsidRDefault="00EF2C0F" w:rsidP="00EF2C0F">
      <w:pPr>
        <w:tabs>
          <w:tab w:val="left" w:pos="1985"/>
        </w:tabs>
        <w:spacing w:line="240" w:lineRule="auto"/>
        <w:jc w:val="both"/>
        <w:rPr>
          <w:rFonts w:ascii="Arial" w:hAnsi="Arial" w:cs="Arial"/>
          <w:b/>
          <w:bCs/>
          <w:sz w:val="24"/>
          <w:szCs w:val="20"/>
          <w:lang w:val="en-GB" w:eastAsia="zh-CN"/>
        </w:rPr>
      </w:pPr>
    </w:p>
    <w:p w14:paraId="348CD14C" w14:textId="77777777" w:rsidR="00EF2C0F" w:rsidRDefault="00EF2C0F" w:rsidP="00EF2C0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Pr>
          <w:rFonts w:ascii="Arial" w:hAnsi="Arial" w:cs="Arial"/>
          <w:b/>
          <w:bCs/>
          <w:sz w:val="24"/>
          <w:szCs w:val="20"/>
          <w:lang w:val="en-GB" w:eastAsia="zh-CN"/>
        </w:rPr>
        <w:t>9.12.8.1</w:t>
      </w:r>
    </w:p>
    <w:p w14:paraId="1946213C" w14:textId="77777777" w:rsidR="00EF2C0F" w:rsidRDefault="00EF2C0F" w:rsidP="00EF2C0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3275BF5B" w14:textId="77777777" w:rsidR="00EF2C0F" w:rsidRDefault="00EF2C0F" w:rsidP="00EF2C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t xml:space="preserve">View on NTN SAN demodulation requirement </w:t>
      </w:r>
      <w:r>
        <w:rPr>
          <w:rFonts w:ascii="Arial" w:hAnsi="Arial" w:cs="Arial"/>
          <w:b/>
          <w:bCs/>
          <w:sz w:val="24"/>
          <w:lang w:val="en-GB" w:eastAsia="zh-CN"/>
        </w:rPr>
        <w:t xml:space="preserve"> </w:t>
      </w:r>
    </w:p>
    <w:p w14:paraId="6A3AE79D" w14:textId="77777777" w:rsidR="00EF2C0F" w:rsidRDefault="00EF2C0F" w:rsidP="00EF2C0F">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70D45EE7" w14:textId="77777777" w:rsidR="00EF2C0F" w:rsidRDefault="00EF2C0F" w:rsidP="00EF2C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E49C133" w14:textId="77777777" w:rsidR="00EF2C0F" w:rsidRDefault="00EF2C0F" w:rsidP="00EF2C0F">
      <w:pPr>
        <w:spacing w:afterLines="50" w:after="156"/>
        <w:jc w:val="both"/>
        <w:rPr>
          <w:lang w:eastAsia="zh-CN"/>
        </w:rPr>
      </w:pPr>
      <w:r>
        <w:rPr>
          <w:lang w:eastAsia="zh-CN"/>
        </w:rPr>
        <w:t>In the last RAN4 meeting, the performance of NTN SAN was under discussion according to the work plan. The related agreement on general test scope and test setup was captured in the WF [1].</w:t>
      </w:r>
    </w:p>
    <w:p w14:paraId="0E858FFB" w14:textId="77777777" w:rsidR="00EF2C0F" w:rsidRDefault="00EF2C0F" w:rsidP="00EF2C0F">
      <w:pPr>
        <w:spacing w:afterLines="50" w:after="156"/>
        <w:jc w:val="both"/>
        <w:rPr>
          <w:lang w:eastAsia="zh-CN"/>
        </w:rPr>
      </w:pPr>
      <w:r>
        <w:rPr>
          <w:lang w:eastAsia="zh-CN"/>
        </w:rPr>
        <w:t>In this contribution, the view on general test scope and test setup for SAN requirement is provided.</w:t>
      </w:r>
    </w:p>
    <w:p w14:paraId="34F14A7B" w14:textId="77777777" w:rsidR="00EF2C0F" w:rsidRDefault="00EF2C0F" w:rsidP="00EF2C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r>
      <w:r>
        <w:rPr>
          <w:rFonts w:ascii="Arial" w:eastAsia="宋体" w:hAnsi="Arial" w:cs="Times New Roman"/>
          <w:sz w:val="36"/>
          <w:szCs w:val="20"/>
          <w:lang w:val="en-GB" w:eastAsia="zh-CN"/>
        </w:rPr>
        <w:t>Discussion</w:t>
      </w:r>
    </w:p>
    <w:p w14:paraId="27C3104D" w14:textId="77777777" w:rsidR="00EF2C0F" w:rsidRDefault="00EF2C0F" w:rsidP="00EF2C0F">
      <w:pPr>
        <w:pStyle w:val="Heading2"/>
        <w:rPr>
          <w:lang w:eastAsia="zh-CN"/>
        </w:rPr>
      </w:pPr>
      <w:r>
        <w:rPr>
          <w:lang w:eastAsia="zh-CN"/>
        </w:rPr>
        <w:t>2. 1 PUSCH performance requirement</w:t>
      </w:r>
    </w:p>
    <w:p w14:paraId="0155159F" w14:textId="77777777" w:rsidR="00EF2C0F" w:rsidRDefault="00EF2C0F" w:rsidP="00EF2C0F">
      <w:pPr>
        <w:jc w:val="both"/>
        <w:rPr>
          <w:b/>
          <w:lang w:eastAsia="zh-CN"/>
        </w:rPr>
      </w:pPr>
      <w:r>
        <w:rPr>
          <w:b/>
          <w:lang w:eastAsia="zh-CN"/>
        </w:rPr>
        <w:t xml:space="preserve">Scope of PUSCH performance requirement </w:t>
      </w:r>
    </w:p>
    <w:p w14:paraId="382B185A" w14:textId="77777777" w:rsidR="00EF2C0F" w:rsidRDefault="00EF2C0F" w:rsidP="00EF2C0F">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F2C0F" w14:paraId="73410E04" w14:textId="77777777" w:rsidTr="00EF2C0F">
        <w:tc>
          <w:tcPr>
            <w:tcW w:w="9847" w:type="dxa"/>
            <w:tcBorders>
              <w:top w:val="single" w:sz="4" w:space="0" w:color="auto"/>
              <w:left w:val="single" w:sz="4" w:space="0" w:color="auto"/>
              <w:bottom w:val="single" w:sz="4" w:space="0" w:color="auto"/>
              <w:right w:val="single" w:sz="4" w:space="0" w:color="auto"/>
            </w:tcBorders>
            <w:hideMark/>
          </w:tcPr>
          <w:p w14:paraId="68521940" w14:textId="77777777" w:rsidR="00EF2C0F" w:rsidRDefault="00EF2C0F" w:rsidP="00304FB3">
            <w:pPr>
              <w:pStyle w:val="ListParagraph"/>
              <w:numPr>
                <w:ilvl w:val="0"/>
                <w:numId w:val="2"/>
              </w:numPr>
              <w:spacing w:line="256" w:lineRule="auto"/>
              <w:rPr>
                <w:rFonts w:eastAsia="宋体"/>
                <w:lang w:val="en-US"/>
              </w:rPr>
            </w:pPr>
            <w:r>
              <w:rPr>
                <w:rFonts w:eastAsia="宋体"/>
                <w:lang w:val="en-US"/>
              </w:rPr>
              <w:t>Not to consider the requirements for mapping Type B with non-slot transmission</w:t>
            </w:r>
          </w:p>
          <w:p w14:paraId="309F886A" w14:textId="77777777" w:rsidR="00EF2C0F" w:rsidRDefault="00EF2C0F" w:rsidP="00304FB3">
            <w:pPr>
              <w:pStyle w:val="ListParagraph"/>
              <w:numPr>
                <w:ilvl w:val="0"/>
                <w:numId w:val="2"/>
              </w:numPr>
              <w:spacing w:line="256" w:lineRule="auto"/>
              <w:rPr>
                <w:rFonts w:eastAsia="宋体"/>
                <w:lang w:val="en-US"/>
              </w:rPr>
            </w:pPr>
            <w:r>
              <w:rPr>
                <w:rFonts w:eastAsia="宋体"/>
                <w:lang w:val="en-US"/>
              </w:rPr>
              <w:t>FFS on 2-step RACH case</w:t>
            </w:r>
          </w:p>
        </w:tc>
      </w:tr>
    </w:tbl>
    <w:p w14:paraId="693F8855" w14:textId="426B20A7" w:rsidR="00EF2C0F" w:rsidRDefault="00EF2C0F" w:rsidP="00EF2C0F">
      <w:pPr>
        <w:jc w:val="both"/>
        <w:rPr>
          <w:lang w:eastAsia="zh-CN"/>
        </w:rPr>
      </w:pPr>
      <w:r>
        <w:rPr>
          <w:b/>
          <w:lang w:eastAsia="zh-CN"/>
        </w:rPr>
        <w:t xml:space="preserve"> </w:t>
      </w:r>
      <w:r>
        <w:rPr>
          <w:lang w:eastAsia="zh-CN"/>
        </w:rPr>
        <w:t>In Rel-16, 2-step RACH was introduced for reducing the random-access delay. Although the TA command can be applied for legacy 4 step RACH in msg2 and 2-step RACH in msgB, a common TA is included, controlled by network, which may include any timing offset considered necessary by the network.  Then, the pre-compensation of timing and frequency offset can be performed at UE side for UL transmission, the residual timing offset impact will be minor. Existing 2-step RACH requirements can be applied. Therefore, we prefer not to consider 2-step RACH case for SAN requirement.</w:t>
      </w:r>
    </w:p>
    <w:p w14:paraId="455E1CEA" w14:textId="77777777" w:rsidR="00EF2C0F" w:rsidRDefault="00EF2C0F" w:rsidP="00EF2C0F">
      <w:pPr>
        <w:jc w:val="both"/>
        <w:rPr>
          <w:b/>
          <w:lang w:eastAsia="zh-CN"/>
        </w:rPr>
      </w:pPr>
      <w:r>
        <w:rPr>
          <w:b/>
          <w:lang w:eastAsia="zh-CN"/>
        </w:rPr>
        <w:t xml:space="preserve">Proposal 1: No 2-step RACH case is considered for SAN requirement </w:t>
      </w:r>
    </w:p>
    <w:p w14:paraId="6DD01547" w14:textId="77777777" w:rsidR="00EF2C0F" w:rsidRDefault="00EF2C0F" w:rsidP="00EF2C0F">
      <w:pPr>
        <w:jc w:val="both"/>
        <w:rPr>
          <w:b/>
          <w:lang w:eastAsia="zh-CN"/>
        </w:rPr>
      </w:pPr>
      <w:r>
        <w:rPr>
          <w:b/>
          <w:lang w:eastAsia="zh-CN"/>
        </w:rPr>
        <w:t xml:space="preserve">SCS/CBW set for PUSCH requirement </w:t>
      </w:r>
    </w:p>
    <w:p w14:paraId="62CD36E8" w14:textId="77777777" w:rsidR="00EF2C0F" w:rsidRDefault="00EF2C0F" w:rsidP="00EF2C0F">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F2C0F" w14:paraId="767F5080" w14:textId="77777777" w:rsidTr="00EF2C0F">
        <w:tc>
          <w:tcPr>
            <w:tcW w:w="9847" w:type="dxa"/>
            <w:tcBorders>
              <w:top w:val="single" w:sz="4" w:space="0" w:color="auto"/>
              <w:left w:val="single" w:sz="4" w:space="0" w:color="auto"/>
              <w:bottom w:val="single" w:sz="4" w:space="0" w:color="auto"/>
              <w:right w:val="single" w:sz="4" w:space="0" w:color="auto"/>
            </w:tcBorders>
            <w:hideMark/>
          </w:tcPr>
          <w:p w14:paraId="75C054B2" w14:textId="77777777" w:rsidR="00EF2C0F" w:rsidRDefault="00EF2C0F" w:rsidP="00304FB3">
            <w:pPr>
              <w:pStyle w:val="ListParagraph"/>
              <w:numPr>
                <w:ilvl w:val="0"/>
                <w:numId w:val="2"/>
              </w:numPr>
              <w:spacing w:line="256" w:lineRule="auto"/>
              <w:rPr>
                <w:rFonts w:eastAsia="宋体"/>
                <w:lang w:val="en-US"/>
              </w:rPr>
            </w:pPr>
            <w:r>
              <w:rPr>
                <w:rFonts w:eastAsia="宋体"/>
                <w:lang w:val="en-US"/>
              </w:rPr>
              <w:t xml:space="preserve">Option 1: 15kHz SCS: 5MHz/10MHz/20MHz, 30kHz SCS: 10MHz/20MHz  </w:t>
            </w:r>
          </w:p>
          <w:p w14:paraId="6E7E1883" w14:textId="77777777" w:rsidR="00EF2C0F" w:rsidRDefault="00EF2C0F" w:rsidP="00304FB3">
            <w:pPr>
              <w:pStyle w:val="ListParagraph"/>
              <w:numPr>
                <w:ilvl w:val="0"/>
                <w:numId w:val="2"/>
              </w:numPr>
              <w:spacing w:line="256" w:lineRule="auto"/>
              <w:rPr>
                <w:rFonts w:eastAsia="宋体"/>
                <w:lang w:val="en-US"/>
              </w:rPr>
            </w:pPr>
            <w:r>
              <w:rPr>
                <w:rFonts w:eastAsia="宋体"/>
                <w:lang w:val="en-US"/>
              </w:rPr>
              <w:t>Option 2: a few of PRBs for all SCS</w:t>
            </w:r>
          </w:p>
        </w:tc>
      </w:tr>
    </w:tbl>
    <w:p w14:paraId="707981C3" w14:textId="77777777" w:rsidR="00EF2C0F" w:rsidRDefault="00EF2C0F" w:rsidP="00EF2C0F">
      <w:pPr>
        <w:jc w:val="both"/>
        <w:rPr>
          <w:lang w:eastAsia="zh-CN"/>
        </w:rPr>
      </w:pPr>
      <w:r>
        <w:rPr>
          <w:lang w:eastAsia="zh-CN"/>
        </w:rPr>
        <w:t>As for SCS/CBW, it is not necessary to combine all the possible SCS and CBW defined in NR. With taking the test effort into account and aligning the FRC discussed for Rx requirement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EF2C0F" w14:paraId="37CEBD25" w14:textId="77777777" w:rsidTr="00EF2C0F">
        <w:trPr>
          <w:jc w:val="center"/>
        </w:trPr>
        <w:tc>
          <w:tcPr>
            <w:tcW w:w="1808" w:type="dxa"/>
            <w:tcBorders>
              <w:top w:val="single" w:sz="4" w:space="0" w:color="auto"/>
              <w:left w:val="single" w:sz="4" w:space="0" w:color="auto"/>
              <w:bottom w:val="single" w:sz="4" w:space="0" w:color="auto"/>
              <w:right w:val="single" w:sz="4" w:space="0" w:color="auto"/>
            </w:tcBorders>
          </w:tcPr>
          <w:p w14:paraId="00740530" w14:textId="77777777" w:rsidR="00EF2C0F" w:rsidRDefault="00EF2C0F">
            <w:pPr>
              <w:pStyle w:val="TAH"/>
              <w:spacing w:line="256" w:lineRule="auto"/>
              <w:rPr>
                <w:rFonts w:cs="Arial"/>
                <w:sz w:val="20"/>
                <w:lang w:val="en-US"/>
              </w:rPr>
            </w:pPr>
          </w:p>
        </w:tc>
        <w:tc>
          <w:tcPr>
            <w:tcW w:w="2031" w:type="dxa"/>
            <w:tcBorders>
              <w:top w:val="single" w:sz="4" w:space="0" w:color="auto"/>
              <w:left w:val="single" w:sz="4" w:space="0" w:color="auto"/>
              <w:bottom w:val="single" w:sz="4" w:space="0" w:color="auto"/>
              <w:right w:val="single" w:sz="4" w:space="0" w:color="auto"/>
            </w:tcBorders>
            <w:hideMark/>
          </w:tcPr>
          <w:p w14:paraId="7DF7B2EA" w14:textId="77777777" w:rsidR="00EF2C0F" w:rsidRDefault="00EF2C0F">
            <w:pPr>
              <w:pStyle w:val="TAH"/>
              <w:spacing w:line="256" w:lineRule="auto"/>
              <w:rPr>
                <w:rFonts w:cs="Arial"/>
                <w:sz w:val="20"/>
                <w:lang w:val="en-US"/>
              </w:rPr>
            </w:pPr>
            <w:r>
              <w:rPr>
                <w:rFonts w:cs="Arial"/>
                <w:sz w:val="20"/>
                <w:lang w:val="en-US"/>
              </w:rPr>
              <w:t>BS Channel BW</w:t>
            </w:r>
          </w:p>
        </w:tc>
        <w:tc>
          <w:tcPr>
            <w:tcW w:w="2114" w:type="dxa"/>
            <w:tcBorders>
              <w:top w:val="single" w:sz="4" w:space="0" w:color="auto"/>
              <w:left w:val="single" w:sz="4" w:space="0" w:color="auto"/>
              <w:bottom w:val="single" w:sz="4" w:space="0" w:color="auto"/>
              <w:right w:val="single" w:sz="4" w:space="0" w:color="auto"/>
            </w:tcBorders>
            <w:hideMark/>
          </w:tcPr>
          <w:p w14:paraId="2297A8DB" w14:textId="77777777" w:rsidR="00EF2C0F" w:rsidRDefault="00EF2C0F">
            <w:pPr>
              <w:pStyle w:val="TAH"/>
              <w:spacing w:line="256" w:lineRule="auto"/>
              <w:rPr>
                <w:rFonts w:cs="Arial"/>
                <w:sz w:val="20"/>
                <w:lang w:val="en-US"/>
              </w:rPr>
            </w:pPr>
            <w:r>
              <w:rPr>
                <w:rFonts w:cs="Arial"/>
                <w:sz w:val="20"/>
                <w:lang w:val="en-US"/>
              </w:rPr>
              <w:t>Subcarrier spacing</w:t>
            </w:r>
          </w:p>
        </w:tc>
        <w:tc>
          <w:tcPr>
            <w:tcW w:w="1859" w:type="dxa"/>
            <w:tcBorders>
              <w:top w:val="single" w:sz="4" w:space="0" w:color="auto"/>
              <w:left w:val="single" w:sz="4" w:space="0" w:color="auto"/>
              <w:bottom w:val="single" w:sz="4" w:space="0" w:color="auto"/>
              <w:right w:val="single" w:sz="4" w:space="0" w:color="auto"/>
            </w:tcBorders>
            <w:hideMark/>
          </w:tcPr>
          <w:p w14:paraId="2F35A384" w14:textId="77777777" w:rsidR="00EF2C0F" w:rsidRDefault="00EF2C0F">
            <w:pPr>
              <w:pStyle w:val="TAH"/>
              <w:spacing w:line="256" w:lineRule="auto"/>
              <w:rPr>
                <w:rFonts w:cs="Arial"/>
                <w:sz w:val="20"/>
                <w:lang w:val="en-US"/>
              </w:rPr>
            </w:pPr>
            <w:r>
              <w:rPr>
                <w:rFonts w:cs="Arial"/>
                <w:sz w:val="20"/>
                <w:lang w:val="en-US"/>
              </w:rPr>
              <w:t>Number of PRBS</w:t>
            </w:r>
          </w:p>
        </w:tc>
      </w:tr>
      <w:tr w:rsidR="00EF2C0F" w14:paraId="78A34C9C" w14:textId="77777777" w:rsidTr="00EF2C0F">
        <w:trPr>
          <w:jc w:val="center"/>
        </w:trPr>
        <w:tc>
          <w:tcPr>
            <w:tcW w:w="1808" w:type="dxa"/>
            <w:tcBorders>
              <w:top w:val="single" w:sz="4" w:space="0" w:color="auto"/>
              <w:left w:val="single" w:sz="4" w:space="0" w:color="auto"/>
              <w:bottom w:val="single" w:sz="4" w:space="0" w:color="auto"/>
              <w:right w:val="single" w:sz="4" w:space="0" w:color="auto"/>
            </w:tcBorders>
            <w:hideMark/>
          </w:tcPr>
          <w:p w14:paraId="113B0524" w14:textId="77777777" w:rsidR="00EF2C0F" w:rsidRDefault="00EF2C0F">
            <w:pPr>
              <w:pStyle w:val="TAC"/>
              <w:spacing w:line="256" w:lineRule="auto"/>
              <w:rPr>
                <w:rFonts w:cs="Arial"/>
                <w:sz w:val="20"/>
              </w:rPr>
            </w:pPr>
            <w:r>
              <w:rPr>
                <w:rFonts w:cs="Arial"/>
                <w:sz w:val="20"/>
              </w:rPr>
              <w:t>G-FR1-A1-1</w:t>
            </w:r>
          </w:p>
        </w:tc>
        <w:tc>
          <w:tcPr>
            <w:tcW w:w="2031" w:type="dxa"/>
            <w:tcBorders>
              <w:top w:val="single" w:sz="4" w:space="0" w:color="auto"/>
              <w:left w:val="single" w:sz="4" w:space="0" w:color="auto"/>
              <w:bottom w:val="single" w:sz="4" w:space="0" w:color="auto"/>
              <w:right w:val="single" w:sz="4" w:space="0" w:color="auto"/>
            </w:tcBorders>
            <w:hideMark/>
          </w:tcPr>
          <w:p w14:paraId="2041019C" w14:textId="77777777" w:rsidR="00EF2C0F" w:rsidRDefault="00EF2C0F">
            <w:pPr>
              <w:pStyle w:val="TAC"/>
              <w:spacing w:line="256" w:lineRule="auto"/>
              <w:rPr>
                <w:rFonts w:cs="Arial"/>
                <w:sz w:val="20"/>
              </w:rPr>
            </w:pPr>
            <w:r>
              <w:rPr>
                <w:rFonts w:cs="Arial"/>
                <w:sz w:val="20"/>
              </w:rPr>
              <w:t>5 MHz</w:t>
            </w:r>
          </w:p>
        </w:tc>
        <w:tc>
          <w:tcPr>
            <w:tcW w:w="2114" w:type="dxa"/>
            <w:tcBorders>
              <w:top w:val="single" w:sz="4" w:space="0" w:color="auto"/>
              <w:left w:val="single" w:sz="4" w:space="0" w:color="auto"/>
              <w:bottom w:val="single" w:sz="4" w:space="0" w:color="auto"/>
              <w:right w:val="single" w:sz="4" w:space="0" w:color="auto"/>
            </w:tcBorders>
            <w:hideMark/>
          </w:tcPr>
          <w:p w14:paraId="78E774BE" w14:textId="77777777" w:rsidR="00EF2C0F" w:rsidRDefault="00EF2C0F">
            <w:pPr>
              <w:pStyle w:val="TAC"/>
              <w:spacing w:line="256" w:lineRule="auto"/>
              <w:rPr>
                <w:rFonts w:cs="Arial"/>
                <w:sz w:val="20"/>
              </w:rPr>
            </w:pPr>
            <w:r>
              <w:rPr>
                <w:rFonts w:cs="Arial"/>
                <w:sz w:val="20"/>
              </w:rPr>
              <w:t>15 kHz</w:t>
            </w:r>
          </w:p>
        </w:tc>
        <w:tc>
          <w:tcPr>
            <w:tcW w:w="1859" w:type="dxa"/>
            <w:tcBorders>
              <w:top w:val="single" w:sz="4" w:space="0" w:color="auto"/>
              <w:left w:val="single" w:sz="4" w:space="0" w:color="auto"/>
              <w:bottom w:val="single" w:sz="4" w:space="0" w:color="auto"/>
              <w:right w:val="single" w:sz="4" w:space="0" w:color="auto"/>
            </w:tcBorders>
            <w:hideMark/>
          </w:tcPr>
          <w:p w14:paraId="62768A44" w14:textId="77777777" w:rsidR="00EF2C0F" w:rsidRDefault="00EF2C0F">
            <w:pPr>
              <w:pStyle w:val="TAC"/>
              <w:spacing w:line="256" w:lineRule="auto"/>
              <w:rPr>
                <w:rFonts w:cs="Arial"/>
                <w:sz w:val="20"/>
              </w:rPr>
            </w:pPr>
            <w:r>
              <w:rPr>
                <w:rFonts w:cs="Arial"/>
                <w:sz w:val="20"/>
              </w:rPr>
              <w:t>25</w:t>
            </w:r>
          </w:p>
        </w:tc>
      </w:tr>
      <w:tr w:rsidR="00EF2C0F" w14:paraId="042CC20E" w14:textId="77777777" w:rsidTr="00EF2C0F">
        <w:trPr>
          <w:jc w:val="center"/>
        </w:trPr>
        <w:tc>
          <w:tcPr>
            <w:tcW w:w="1808" w:type="dxa"/>
            <w:tcBorders>
              <w:top w:val="single" w:sz="4" w:space="0" w:color="auto"/>
              <w:left w:val="single" w:sz="4" w:space="0" w:color="auto"/>
              <w:bottom w:val="single" w:sz="4" w:space="0" w:color="auto"/>
              <w:right w:val="single" w:sz="4" w:space="0" w:color="auto"/>
            </w:tcBorders>
            <w:hideMark/>
          </w:tcPr>
          <w:p w14:paraId="2BBEEAD1" w14:textId="77777777" w:rsidR="00EF2C0F" w:rsidRDefault="00EF2C0F">
            <w:pPr>
              <w:pStyle w:val="TAC"/>
              <w:spacing w:line="256" w:lineRule="auto"/>
              <w:rPr>
                <w:rFonts w:cs="Arial"/>
                <w:sz w:val="20"/>
              </w:rPr>
            </w:pPr>
            <w:r>
              <w:rPr>
                <w:rFonts w:cs="Arial"/>
                <w:sz w:val="20"/>
              </w:rPr>
              <w:t>G-FR1-A1-2</w:t>
            </w:r>
          </w:p>
        </w:tc>
        <w:tc>
          <w:tcPr>
            <w:tcW w:w="2031" w:type="dxa"/>
            <w:tcBorders>
              <w:top w:val="single" w:sz="4" w:space="0" w:color="auto"/>
              <w:left w:val="single" w:sz="4" w:space="0" w:color="auto"/>
              <w:bottom w:val="single" w:sz="4" w:space="0" w:color="auto"/>
              <w:right w:val="single" w:sz="4" w:space="0" w:color="auto"/>
            </w:tcBorders>
            <w:hideMark/>
          </w:tcPr>
          <w:p w14:paraId="56432E5D" w14:textId="77777777" w:rsidR="00EF2C0F" w:rsidRDefault="00EF2C0F">
            <w:pPr>
              <w:pStyle w:val="TAC"/>
              <w:spacing w:line="256" w:lineRule="auto"/>
              <w:rPr>
                <w:rFonts w:cs="Arial"/>
                <w:sz w:val="20"/>
              </w:rPr>
            </w:pPr>
            <w:r>
              <w:rPr>
                <w:rFonts w:cs="Arial"/>
                <w:sz w:val="20"/>
              </w:rPr>
              <w:t>5 MHz</w:t>
            </w:r>
          </w:p>
        </w:tc>
        <w:tc>
          <w:tcPr>
            <w:tcW w:w="2114" w:type="dxa"/>
            <w:tcBorders>
              <w:top w:val="single" w:sz="4" w:space="0" w:color="auto"/>
              <w:left w:val="single" w:sz="4" w:space="0" w:color="auto"/>
              <w:bottom w:val="single" w:sz="4" w:space="0" w:color="auto"/>
              <w:right w:val="single" w:sz="4" w:space="0" w:color="auto"/>
            </w:tcBorders>
            <w:hideMark/>
          </w:tcPr>
          <w:p w14:paraId="6A5688D7" w14:textId="77777777" w:rsidR="00EF2C0F" w:rsidRDefault="00EF2C0F">
            <w:pPr>
              <w:pStyle w:val="TAC"/>
              <w:spacing w:line="256" w:lineRule="auto"/>
              <w:rPr>
                <w:rFonts w:cs="Arial"/>
                <w:sz w:val="20"/>
              </w:rPr>
            </w:pPr>
            <w:r>
              <w:rPr>
                <w:rFonts w:cs="Arial"/>
                <w:sz w:val="20"/>
              </w:rPr>
              <w:t>30 kHz</w:t>
            </w:r>
          </w:p>
        </w:tc>
        <w:tc>
          <w:tcPr>
            <w:tcW w:w="1859" w:type="dxa"/>
            <w:tcBorders>
              <w:top w:val="single" w:sz="4" w:space="0" w:color="auto"/>
              <w:left w:val="single" w:sz="4" w:space="0" w:color="auto"/>
              <w:bottom w:val="single" w:sz="4" w:space="0" w:color="auto"/>
              <w:right w:val="single" w:sz="4" w:space="0" w:color="auto"/>
            </w:tcBorders>
            <w:hideMark/>
          </w:tcPr>
          <w:p w14:paraId="14CC7EE5" w14:textId="77777777" w:rsidR="00EF2C0F" w:rsidRDefault="00EF2C0F">
            <w:pPr>
              <w:pStyle w:val="TAC"/>
              <w:spacing w:line="256" w:lineRule="auto"/>
              <w:rPr>
                <w:rFonts w:cs="Arial"/>
                <w:sz w:val="20"/>
              </w:rPr>
            </w:pPr>
            <w:r>
              <w:rPr>
                <w:rFonts w:cs="Arial"/>
                <w:sz w:val="20"/>
              </w:rPr>
              <w:t>11</w:t>
            </w:r>
          </w:p>
        </w:tc>
      </w:tr>
      <w:tr w:rsidR="00EF2C0F" w14:paraId="44F31B13" w14:textId="77777777" w:rsidTr="00EF2C0F">
        <w:trPr>
          <w:jc w:val="center"/>
        </w:trPr>
        <w:tc>
          <w:tcPr>
            <w:tcW w:w="1808" w:type="dxa"/>
            <w:tcBorders>
              <w:top w:val="single" w:sz="4" w:space="0" w:color="auto"/>
              <w:left w:val="single" w:sz="4" w:space="0" w:color="auto"/>
              <w:bottom w:val="single" w:sz="4" w:space="0" w:color="auto"/>
              <w:right w:val="single" w:sz="4" w:space="0" w:color="auto"/>
            </w:tcBorders>
            <w:hideMark/>
          </w:tcPr>
          <w:p w14:paraId="441D42AA" w14:textId="77777777" w:rsidR="00EF2C0F" w:rsidRDefault="00EF2C0F">
            <w:pPr>
              <w:pStyle w:val="TAC"/>
              <w:spacing w:line="256" w:lineRule="auto"/>
              <w:rPr>
                <w:rFonts w:cs="Arial"/>
                <w:sz w:val="20"/>
              </w:rPr>
            </w:pPr>
            <w:r>
              <w:rPr>
                <w:rFonts w:cs="Arial"/>
                <w:sz w:val="20"/>
              </w:rPr>
              <w:t>G-FR1-A1-3</w:t>
            </w:r>
          </w:p>
        </w:tc>
        <w:tc>
          <w:tcPr>
            <w:tcW w:w="2031" w:type="dxa"/>
            <w:tcBorders>
              <w:top w:val="single" w:sz="4" w:space="0" w:color="auto"/>
              <w:left w:val="single" w:sz="4" w:space="0" w:color="auto"/>
              <w:bottom w:val="single" w:sz="4" w:space="0" w:color="auto"/>
              <w:right w:val="single" w:sz="4" w:space="0" w:color="auto"/>
            </w:tcBorders>
            <w:hideMark/>
          </w:tcPr>
          <w:p w14:paraId="31935AB6" w14:textId="77777777" w:rsidR="00EF2C0F" w:rsidRDefault="00EF2C0F">
            <w:pPr>
              <w:pStyle w:val="TAC"/>
              <w:spacing w:line="256" w:lineRule="auto"/>
              <w:rPr>
                <w:rFonts w:cs="Arial"/>
                <w:sz w:val="20"/>
              </w:rPr>
            </w:pPr>
            <w:r>
              <w:rPr>
                <w:rFonts w:cs="Arial"/>
                <w:sz w:val="20"/>
              </w:rPr>
              <w:t>10 MHz</w:t>
            </w:r>
          </w:p>
        </w:tc>
        <w:tc>
          <w:tcPr>
            <w:tcW w:w="2114" w:type="dxa"/>
            <w:tcBorders>
              <w:top w:val="single" w:sz="4" w:space="0" w:color="auto"/>
              <w:left w:val="single" w:sz="4" w:space="0" w:color="auto"/>
              <w:bottom w:val="single" w:sz="4" w:space="0" w:color="auto"/>
              <w:right w:val="single" w:sz="4" w:space="0" w:color="auto"/>
            </w:tcBorders>
            <w:hideMark/>
          </w:tcPr>
          <w:p w14:paraId="7D0BC19E" w14:textId="77777777" w:rsidR="00EF2C0F" w:rsidRDefault="00EF2C0F">
            <w:pPr>
              <w:pStyle w:val="TAC"/>
              <w:spacing w:line="256" w:lineRule="auto"/>
              <w:rPr>
                <w:rFonts w:cs="Arial"/>
                <w:sz w:val="20"/>
              </w:rPr>
            </w:pPr>
            <w:r>
              <w:rPr>
                <w:rFonts w:cs="Arial"/>
                <w:sz w:val="20"/>
              </w:rPr>
              <w:t>60 kHz</w:t>
            </w:r>
          </w:p>
        </w:tc>
        <w:tc>
          <w:tcPr>
            <w:tcW w:w="1859" w:type="dxa"/>
            <w:tcBorders>
              <w:top w:val="single" w:sz="4" w:space="0" w:color="auto"/>
              <w:left w:val="single" w:sz="4" w:space="0" w:color="auto"/>
              <w:bottom w:val="single" w:sz="4" w:space="0" w:color="auto"/>
              <w:right w:val="single" w:sz="4" w:space="0" w:color="auto"/>
            </w:tcBorders>
            <w:hideMark/>
          </w:tcPr>
          <w:p w14:paraId="470FD1DE" w14:textId="77777777" w:rsidR="00EF2C0F" w:rsidRDefault="00EF2C0F">
            <w:pPr>
              <w:pStyle w:val="TAC"/>
              <w:spacing w:line="256" w:lineRule="auto"/>
              <w:rPr>
                <w:rFonts w:cs="Arial"/>
                <w:sz w:val="20"/>
              </w:rPr>
            </w:pPr>
            <w:r>
              <w:rPr>
                <w:rFonts w:cs="Arial"/>
                <w:sz w:val="20"/>
              </w:rPr>
              <w:t>11</w:t>
            </w:r>
          </w:p>
        </w:tc>
      </w:tr>
      <w:tr w:rsidR="00EF2C0F" w14:paraId="0DD9C045" w14:textId="77777777" w:rsidTr="00EF2C0F">
        <w:trPr>
          <w:jc w:val="center"/>
        </w:trPr>
        <w:tc>
          <w:tcPr>
            <w:tcW w:w="1808" w:type="dxa"/>
            <w:tcBorders>
              <w:top w:val="single" w:sz="4" w:space="0" w:color="auto"/>
              <w:left w:val="single" w:sz="4" w:space="0" w:color="auto"/>
              <w:bottom w:val="single" w:sz="4" w:space="0" w:color="auto"/>
              <w:right w:val="single" w:sz="4" w:space="0" w:color="auto"/>
            </w:tcBorders>
            <w:hideMark/>
          </w:tcPr>
          <w:p w14:paraId="3D62712F" w14:textId="77777777" w:rsidR="00EF2C0F" w:rsidRDefault="00EF2C0F">
            <w:pPr>
              <w:pStyle w:val="TAC"/>
              <w:spacing w:line="256" w:lineRule="auto"/>
              <w:rPr>
                <w:rFonts w:cs="Arial"/>
                <w:sz w:val="20"/>
              </w:rPr>
            </w:pPr>
            <w:r>
              <w:rPr>
                <w:rFonts w:cs="Arial"/>
                <w:sz w:val="20"/>
              </w:rPr>
              <w:t>G-FR1-A1-4</w:t>
            </w:r>
          </w:p>
        </w:tc>
        <w:tc>
          <w:tcPr>
            <w:tcW w:w="2031" w:type="dxa"/>
            <w:tcBorders>
              <w:top w:val="single" w:sz="4" w:space="0" w:color="auto"/>
              <w:left w:val="single" w:sz="4" w:space="0" w:color="auto"/>
              <w:bottom w:val="single" w:sz="4" w:space="0" w:color="auto"/>
              <w:right w:val="single" w:sz="4" w:space="0" w:color="auto"/>
            </w:tcBorders>
            <w:hideMark/>
          </w:tcPr>
          <w:p w14:paraId="049CE448" w14:textId="77777777" w:rsidR="00EF2C0F" w:rsidRDefault="00EF2C0F">
            <w:pPr>
              <w:pStyle w:val="TAC"/>
              <w:spacing w:line="256" w:lineRule="auto"/>
              <w:rPr>
                <w:rFonts w:cs="Arial"/>
                <w:sz w:val="20"/>
              </w:rPr>
            </w:pPr>
            <w:r>
              <w:rPr>
                <w:rFonts w:cs="Arial"/>
                <w:sz w:val="20"/>
              </w:rPr>
              <w:t>20 MHz</w:t>
            </w:r>
          </w:p>
        </w:tc>
        <w:tc>
          <w:tcPr>
            <w:tcW w:w="2114" w:type="dxa"/>
            <w:tcBorders>
              <w:top w:val="single" w:sz="4" w:space="0" w:color="auto"/>
              <w:left w:val="single" w:sz="4" w:space="0" w:color="auto"/>
              <w:bottom w:val="single" w:sz="4" w:space="0" w:color="auto"/>
              <w:right w:val="single" w:sz="4" w:space="0" w:color="auto"/>
            </w:tcBorders>
            <w:hideMark/>
          </w:tcPr>
          <w:p w14:paraId="11EE4738" w14:textId="77777777" w:rsidR="00EF2C0F" w:rsidRDefault="00EF2C0F">
            <w:pPr>
              <w:pStyle w:val="TAC"/>
              <w:spacing w:line="256" w:lineRule="auto"/>
              <w:rPr>
                <w:rFonts w:cs="Arial"/>
                <w:sz w:val="20"/>
              </w:rPr>
            </w:pPr>
            <w:r>
              <w:rPr>
                <w:rFonts w:cs="Arial"/>
                <w:sz w:val="20"/>
              </w:rPr>
              <w:t>15 kHz</w:t>
            </w:r>
          </w:p>
        </w:tc>
        <w:tc>
          <w:tcPr>
            <w:tcW w:w="1859" w:type="dxa"/>
            <w:tcBorders>
              <w:top w:val="single" w:sz="4" w:space="0" w:color="auto"/>
              <w:left w:val="single" w:sz="4" w:space="0" w:color="auto"/>
              <w:bottom w:val="single" w:sz="4" w:space="0" w:color="auto"/>
              <w:right w:val="single" w:sz="4" w:space="0" w:color="auto"/>
            </w:tcBorders>
            <w:hideMark/>
          </w:tcPr>
          <w:p w14:paraId="7D2EF77F" w14:textId="77777777" w:rsidR="00EF2C0F" w:rsidRDefault="00EF2C0F">
            <w:pPr>
              <w:pStyle w:val="TAC"/>
              <w:spacing w:line="256" w:lineRule="auto"/>
              <w:rPr>
                <w:rFonts w:cs="Arial"/>
                <w:sz w:val="20"/>
              </w:rPr>
            </w:pPr>
            <w:r>
              <w:rPr>
                <w:rFonts w:cs="Arial"/>
                <w:sz w:val="20"/>
              </w:rPr>
              <w:t>106</w:t>
            </w:r>
          </w:p>
        </w:tc>
      </w:tr>
      <w:tr w:rsidR="00EF2C0F" w14:paraId="48F97BE7" w14:textId="77777777" w:rsidTr="00EF2C0F">
        <w:trPr>
          <w:jc w:val="center"/>
        </w:trPr>
        <w:tc>
          <w:tcPr>
            <w:tcW w:w="1808" w:type="dxa"/>
            <w:tcBorders>
              <w:top w:val="single" w:sz="4" w:space="0" w:color="auto"/>
              <w:left w:val="single" w:sz="4" w:space="0" w:color="auto"/>
              <w:bottom w:val="single" w:sz="4" w:space="0" w:color="auto"/>
              <w:right w:val="single" w:sz="4" w:space="0" w:color="auto"/>
            </w:tcBorders>
            <w:hideMark/>
          </w:tcPr>
          <w:p w14:paraId="75B1D7BA" w14:textId="77777777" w:rsidR="00EF2C0F" w:rsidRDefault="00EF2C0F">
            <w:pPr>
              <w:pStyle w:val="TAC"/>
              <w:spacing w:line="256" w:lineRule="auto"/>
              <w:rPr>
                <w:rFonts w:cs="Arial"/>
                <w:sz w:val="20"/>
              </w:rPr>
            </w:pPr>
            <w:r>
              <w:rPr>
                <w:rFonts w:cs="Arial"/>
                <w:sz w:val="20"/>
              </w:rPr>
              <w:t>G-FR1-A1-5</w:t>
            </w:r>
          </w:p>
        </w:tc>
        <w:tc>
          <w:tcPr>
            <w:tcW w:w="2031" w:type="dxa"/>
            <w:tcBorders>
              <w:top w:val="single" w:sz="4" w:space="0" w:color="auto"/>
              <w:left w:val="single" w:sz="4" w:space="0" w:color="auto"/>
              <w:bottom w:val="single" w:sz="4" w:space="0" w:color="auto"/>
              <w:right w:val="single" w:sz="4" w:space="0" w:color="auto"/>
            </w:tcBorders>
            <w:hideMark/>
          </w:tcPr>
          <w:p w14:paraId="42ADF168" w14:textId="77777777" w:rsidR="00EF2C0F" w:rsidRDefault="00EF2C0F">
            <w:pPr>
              <w:pStyle w:val="TAC"/>
              <w:spacing w:line="256" w:lineRule="auto"/>
              <w:rPr>
                <w:rFonts w:cs="Arial"/>
                <w:sz w:val="20"/>
              </w:rPr>
            </w:pPr>
            <w:r>
              <w:rPr>
                <w:rFonts w:cs="Arial"/>
                <w:sz w:val="20"/>
              </w:rPr>
              <w:t>20 MHz</w:t>
            </w:r>
          </w:p>
        </w:tc>
        <w:tc>
          <w:tcPr>
            <w:tcW w:w="2114" w:type="dxa"/>
            <w:tcBorders>
              <w:top w:val="single" w:sz="4" w:space="0" w:color="auto"/>
              <w:left w:val="single" w:sz="4" w:space="0" w:color="auto"/>
              <w:bottom w:val="single" w:sz="4" w:space="0" w:color="auto"/>
              <w:right w:val="single" w:sz="4" w:space="0" w:color="auto"/>
            </w:tcBorders>
            <w:hideMark/>
          </w:tcPr>
          <w:p w14:paraId="2612FFEB" w14:textId="77777777" w:rsidR="00EF2C0F" w:rsidRDefault="00EF2C0F">
            <w:pPr>
              <w:pStyle w:val="TAC"/>
              <w:spacing w:line="256" w:lineRule="auto"/>
              <w:rPr>
                <w:rFonts w:cs="Arial"/>
                <w:sz w:val="20"/>
              </w:rPr>
            </w:pPr>
            <w:r>
              <w:rPr>
                <w:rFonts w:cs="Arial"/>
                <w:sz w:val="20"/>
              </w:rPr>
              <w:t>30 kHz</w:t>
            </w:r>
          </w:p>
        </w:tc>
        <w:tc>
          <w:tcPr>
            <w:tcW w:w="1859" w:type="dxa"/>
            <w:tcBorders>
              <w:top w:val="single" w:sz="4" w:space="0" w:color="auto"/>
              <w:left w:val="single" w:sz="4" w:space="0" w:color="auto"/>
              <w:bottom w:val="single" w:sz="4" w:space="0" w:color="auto"/>
              <w:right w:val="single" w:sz="4" w:space="0" w:color="auto"/>
            </w:tcBorders>
            <w:hideMark/>
          </w:tcPr>
          <w:p w14:paraId="41F0ABBE" w14:textId="77777777" w:rsidR="00EF2C0F" w:rsidRDefault="00EF2C0F">
            <w:pPr>
              <w:pStyle w:val="TAC"/>
              <w:spacing w:line="256" w:lineRule="auto"/>
              <w:rPr>
                <w:rFonts w:cs="Arial"/>
                <w:sz w:val="20"/>
              </w:rPr>
            </w:pPr>
            <w:r>
              <w:rPr>
                <w:rFonts w:cs="Arial"/>
                <w:sz w:val="20"/>
              </w:rPr>
              <w:t>51</w:t>
            </w:r>
          </w:p>
        </w:tc>
      </w:tr>
      <w:tr w:rsidR="00EF2C0F" w14:paraId="02A5B012" w14:textId="77777777" w:rsidTr="00EF2C0F">
        <w:trPr>
          <w:jc w:val="center"/>
        </w:trPr>
        <w:tc>
          <w:tcPr>
            <w:tcW w:w="1808" w:type="dxa"/>
            <w:tcBorders>
              <w:top w:val="single" w:sz="4" w:space="0" w:color="auto"/>
              <w:left w:val="single" w:sz="4" w:space="0" w:color="auto"/>
              <w:bottom w:val="single" w:sz="4" w:space="0" w:color="auto"/>
              <w:right w:val="single" w:sz="4" w:space="0" w:color="auto"/>
            </w:tcBorders>
            <w:hideMark/>
          </w:tcPr>
          <w:p w14:paraId="26132BA1" w14:textId="77777777" w:rsidR="00EF2C0F" w:rsidRDefault="00EF2C0F">
            <w:pPr>
              <w:pStyle w:val="TAC"/>
              <w:spacing w:line="256" w:lineRule="auto"/>
              <w:rPr>
                <w:rFonts w:cs="Arial"/>
                <w:sz w:val="20"/>
              </w:rPr>
            </w:pPr>
            <w:r>
              <w:rPr>
                <w:rFonts w:cs="Arial"/>
                <w:sz w:val="20"/>
              </w:rPr>
              <w:t>G-FR1-A1-6</w:t>
            </w:r>
          </w:p>
        </w:tc>
        <w:tc>
          <w:tcPr>
            <w:tcW w:w="2031" w:type="dxa"/>
            <w:tcBorders>
              <w:top w:val="single" w:sz="4" w:space="0" w:color="auto"/>
              <w:left w:val="single" w:sz="4" w:space="0" w:color="auto"/>
              <w:bottom w:val="single" w:sz="4" w:space="0" w:color="auto"/>
              <w:right w:val="single" w:sz="4" w:space="0" w:color="auto"/>
            </w:tcBorders>
            <w:hideMark/>
          </w:tcPr>
          <w:p w14:paraId="487D89BE" w14:textId="77777777" w:rsidR="00EF2C0F" w:rsidRDefault="00EF2C0F">
            <w:pPr>
              <w:pStyle w:val="TAC"/>
              <w:spacing w:line="256" w:lineRule="auto"/>
              <w:rPr>
                <w:rFonts w:cs="Arial"/>
                <w:sz w:val="20"/>
              </w:rPr>
            </w:pPr>
            <w:r>
              <w:rPr>
                <w:rFonts w:cs="Arial"/>
                <w:sz w:val="20"/>
              </w:rPr>
              <w:t>20 MHz</w:t>
            </w:r>
          </w:p>
        </w:tc>
        <w:tc>
          <w:tcPr>
            <w:tcW w:w="2114" w:type="dxa"/>
            <w:tcBorders>
              <w:top w:val="single" w:sz="4" w:space="0" w:color="auto"/>
              <w:left w:val="single" w:sz="4" w:space="0" w:color="auto"/>
              <w:bottom w:val="single" w:sz="4" w:space="0" w:color="auto"/>
              <w:right w:val="single" w:sz="4" w:space="0" w:color="auto"/>
            </w:tcBorders>
            <w:hideMark/>
          </w:tcPr>
          <w:p w14:paraId="131A1817" w14:textId="77777777" w:rsidR="00EF2C0F" w:rsidRDefault="00EF2C0F">
            <w:pPr>
              <w:pStyle w:val="TAC"/>
              <w:spacing w:line="256" w:lineRule="auto"/>
              <w:rPr>
                <w:rFonts w:cs="Arial"/>
                <w:sz w:val="20"/>
              </w:rPr>
            </w:pPr>
            <w:r>
              <w:rPr>
                <w:rFonts w:cs="Arial"/>
                <w:sz w:val="20"/>
              </w:rPr>
              <w:t>60 kHz</w:t>
            </w:r>
          </w:p>
        </w:tc>
        <w:tc>
          <w:tcPr>
            <w:tcW w:w="1859" w:type="dxa"/>
            <w:tcBorders>
              <w:top w:val="single" w:sz="4" w:space="0" w:color="auto"/>
              <w:left w:val="single" w:sz="4" w:space="0" w:color="auto"/>
              <w:bottom w:val="single" w:sz="4" w:space="0" w:color="auto"/>
              <w:right w:val="single" w:sz="4" w:space="0" w:color="auto"/>
            </w:tcBorders>
            <w:hideMark/>
          </w:tcPr>
          <w:p w14:paraId="6B1AEA91" w14:textId="77777777" w:rsidR="00EF2C0F" w:rsidRDefault="00EF2C0F">
            <w:pPr>
              <w:pStyle w:val="TAC"/>
              <w:spacing w:line="256" w:lineRule="auto"/>
              <w:rPr>
                <w:rFonts w:cs="Arial"/>
                <w:sz w:val="20"/>
              </w:rPr>
            </w:pPr>
            <w:r>
              <w:rPr>
                <w:rFonts w:cs="Arial"/>
                <w:sz w:val="20"/>
              </w:rPr>
              <w:t>24</w:t>
            </w:r>
          </w:p>
        </w:tc>
      </w:tr>
    </w:tbl>
    <w:p w14:paraId="6E3E3B3B" w14:textId="77777777" w:rsidR="00EF2C0F" w:rsidRDefault="00EF2C0F" w:rsidP="00EF2C0F">
      <w:pPr>
        <w:jc w:val="both"/>
        <w:rPr>
          <w:lang w:eastAsia="zh-CN"/>
        </w:rPr>
      </w:pPr>
      <w:r>
        <w:rPr>
          <w:lang w:eastAsia="zh-CN"/>
        </w:rPr>
        <w:t>we prefer to define SAN requirement with 5MHz/20MHz for 15KHz SCS, and 5MHz/20MHz for 30KHz SCS</w:t>
      </w:r>
    </w:p>
    <w:p w14:paraId="3344A597" w14:textId="6A185469" w:rsidR="00EF2C0F" w:rsidRPr="002E5FD4" w:rsidRDefault="00EF2C0F" w:rsidP="00EF2C0F">
      <w:pPr>
        <w:jc w:val="both"/>
        <w:rPr>
          <w:rFonts w:hint="eastAsia"/>
          <w:b/>
          <w:lang w:eastAsia="zh-CN"/>
        </w:rPr>
      </w:pPr>
      <w:r>
        <w:rPr>
          <w:b/>
          <w:lang w:eastAsia="zh-CN"/>
        </w:rPr>
        <w:t>Proposal 2: RAN4 define SAN requirement with 5MHz/20MHz for 15KHz SCS, and 5MHz/20MHz for 30KHz SCS.</w:t>
      </w:r>
    </w:p>
    <w:p w14:paraId="6B9158BC" w14:textId="77777777" w:rsidR="00EF2C0F" w:rsidRDefault="00EF2C0F" w:rsidP="00EF2C0F">
      <w:pPr>
        <w:jc w:val="both"/>
        <w:rPr>
          <w:b/>
          <w:lang w:eastAsia="zh-CN"/>
        </w:rPr>
      </w:pPr>
      <w:r>
        <w:rPr>
          <w:b/>
          <w:lang w:eastAsia="zh-CN"/>
        </w:rPr>
        <w:t>Antenna configuration for PUSCH requirements</w:t>
      </w:r>
    </w:p>
    <w:p w14:paraId="42061E0E" w14:textId="77777777" w:rsidR="00EF2C0F" w:rsidRDefault="00EF2C0F" w:rsidP="00EF2C0F">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F2C0F" w14:paraId="194B91AB" w14:textId="77777777" w:rsidTr="00EF2C0F">
        <w:tc>
          <w:tcPr>
            <w:tcW w:w="9847" w:type="dxa"/>
            <w:tcBorders>
              <w:top w:val="single" w:sz="4" w:space="0" w:color="auto"/>
              <w:left w:val="single" w:sz="4" w:space="0" w:color="auto"/>
              <w:bottom w:val="single" w:sz="4" w:space="0" w:color="auto"/>
              <w:right w:val="single" w:sz="4" w:space="0" w:color="auto"/>
            </w:tcBorders>
            <w:hideMark/>
          </w:tcPr>
          <w:p w14:paraId="7FBBDF5D" w14:textId="77777777" w:rsidR="00EF2C0F" w:rsidRDefault="00EF2C0F" w:rsidP="00304FB3">
            <w:pPr>
              <w:pStyle w:val="ListParagraph"/>
              <w:numPr>
                <w:ilvl w:val="0"/>
                <w:numId w:val="2"/>
              </w:numPr>
              <w:spacing w:line="256" w:lineRule="auto"/>
              <w:rPr>
                <w:rFonts w:eastAsia="宋体"/>
                <w:lang w:val="en-US"/>
              </w:rPr>
            </w:pPr>
            <w:r>
              <w:rPr>
                <w:rFonts w:eastAsia="宋体"/>
                <w:lang w:val="en-US"/>
              </w:rPr>
              <w:t>UE 1Tx</w:t>
            </w:r>
          </w:p>
          <w:p w14:paraId="657502A5" w14:textId="77777777" w:rsidR="00EF2C0F" w:rsidRDefault="00EF2C0F" w:rsidP="00304FB3">
            <w:pPr>
              <w:pStyle w:val="ListParagraph"/>
              <w:numPr>
                <w:ilvl w:val="0"/>
                <w:numId w:val="2"/>
              </w:numPr>
              <w:spacing w:line="256" w:lineRule="auto"/>
              <w:rPr>
                <w:rFonts w:eastAsia="宋体"/>
                <w:lang w:val="en-US"/>
              </w:rPr>
            </w:pPr>
            <w:r>
              <w:rPr>
                <w:rFonts w:eastAsia="宋体"/>
                <w:lang w:val="en-US"/>
              </w:rPr>
              <w:t>SAN 2Rx</w:t>
            </w:r>
          </w:p>
          <w:p w14:paraId="54F36A8D" w14:textId="77777777" w:rsidR="00EF2C0F" w:rsidRDefault="00EF2C0F" w:rsidP="00304FB3">
            <w:pPr>
              <w:pStyle w:val="ListParagraph"/>
              <w:numPr>
                <w:ilvl w:val="0"/>
                <w:numId w:val="2"/>
              </w:numPr>
              <w:spacing w:after="120" w:line="256" w:lineRule="auto"/>
              <w:rPr>
                <w:rFonts w:eastAsia="宋体"/>
                <w:szCs w:val="24"/>
              </w:rPr>
            </w:pPr>
            <w:r>
              <w:rPr>
                <w:rFonts w:eastAsia="宋体"/>
                <w:szCs w:val="24"/>
              </w:rPr>
              <w:t>FFS: SAN 1Rx, SAN 4Rx and SAN 8Rx</w:t>
            </w:r>
          </w:p>
        </w:tc>
      </w:tr>
    </w:tbl>
    <w:p w14:paraId="02024E5F" w14:textId="77777777" w:rsidR="00EF2C0F" w:rsidRDefault="00EF2C0F" w:rsidP="00EF2C0F">
      <w:pPr>
        <w:jc w:val="both"/>
        <w:rPr>
          <w:lang w:eastAsia="zh-CN"/>
        </w:rPr>
      </w:pPr>
      <w:r>
        <w:rPr>
          <w:lang w:eastAsia="zh-CN"/>
        </w:rPr>
        <w:t xml:space="preserve">Regarding the antenna configuration, 4Rx and 8Rx can also be supported for non-terrestrial network. 2Rx can fulfill the basic test purpose, therefore, we prefer to consider 2Rx only for SAN requirement with reducing test effort. </w:t>
      </w:r>
    </w:p>
    <w:p w14:paraId="6F0E4A3B" w14:textId="2F9DA02B" w:rsidR="00EF2C0F" w:rsidRPr="002E5FD4" w:rsidRDefault="00EF2C0F" w:rsidP="00EF2C0F">
      <w:pPr>
        <w:jc w:val="both"/>
        <w:rPr>
          <w:rFonts w:hint="eastAsia"/>
          <w:b/>
          <w:lang w:eastAsia="zh-CN"/>
        </w:rPr>
      </w:pPr>
      <w:bookmarkStart w:id="3" w:name="_Hlk101789212"/>
      <w:r>
        <w:rPr>
          <w:b/>
          <w:lang w:eastAsia="zh-CN"/>
        </w:rPr>
        <w:t>Proposal 3: RAN4 define SAN requirement with 2 Rx only</w:t>
      </w:r>
      <w:bookmarkEnd w:id="3"/>
    </w:p>
    <w:p w14:paraId="1242A662" w14:textId="77777777" w:rsidR="00EF2C0F" w:rsidRDefault="00EF2C0F" w:rsidP="00EF2C0F">
      <w:pPr>
        <w:jc w:val="both"/>
        <w:rPr>
          <w:b/>
          <w:lang w:eastAsia="zh-CN"/>
        </w:rPr>
      </w:pPr>
      <w:r>
        <w:rPr>
          <w:b/>
          <w:lang w:eastAsia="zh-CN"/>
        </w:rPr>
        <w:t xml:space="preserve">Waveform </w:t>
      </w:r>
    </w:p>
    <w:p w14:paraId="21F5B547" w14:textId="77777777" w:rsidR="00EF2C0F" w:rsidRDefault="00EF2C0F" w:rsidP="00EF2C0F">
      <w:pPr>
        <w:jc w:val="both"/>
        <w:rPr>
          <w:lang w:eastAsia="zh-CN"/>
        </w:rPr>
      </w:pPr>
      <w:r>
        <w:rPr>
          <w:lang w:eastAsia="zh-CN"/>
        </w:rPr>
        <w:t>Regarding the waveform, there is no restriction NR operation in non-terrestrial networks. To reduce the test effort, we suggest to consider CP-OFDM only for requirement.</w:t>
      </w:r>
    </w:p>
    <w:p w14:paraId="6A3816B1" w14:textId="77777777" w:rsidR="00EF2C0F" w:rsidRDefault="00EF2C0F" w:rsidP="00EF2C0F">
      <w:pPr>
        <w:jc w:val="both"/>
        <w:rPr>
          <w:b/>
          <w:lang w:eastAsia="zh-CN"/>
        </w:rPr>
      </w:pPr>
      <w:r>
        <w:rPr>
          <w:b/>
          <w:lang w:eastAsia="zh-CN"/>
        </w:rPr>
        <w:t xml:space="preserve">Proposal 4: RAN4 define SAN requirement with CP-OFDM only </w:t>
      </w:r>
    </w:p>
    <w:p w14:paraId="04CB8375" w14:textId="77777777" w:rsidR="00EF2C0F" w:rsidRDefault="00EF2C0F" w:rsidP="00EF2C0F">
      <w:pPr>
        <w:jc w:val="both"/>
        <w:rPr>
          <w:lang w:eastAsia="zh-CN"/>
        </w:rPr>
      </w:pPr>
    </w:p>
    <w:p w14:paraId="0E7EDC59" w14:textId="77777777" w:rsidR="00EF2C0F" w:rsidRDefault="00EF2C0F" w:rsidP="00EF2C0F">
      <w:pPr>
        <w:pStyle w:val="Heading2"/>
        <w:rPr>
          <w:lang w:eastAsia="zh-CN"/>
        </w:rPr>
      </w:pPr>
      <w:r>
        <w:rPr>
          <w:lang w:eastAsia="zh-CN"/>
        </w:rPr>
        <w:t>2. 4 PRACH performance requirement</w:t>
      </w:r>
    </w:p>
    <w:p w14:paraId="33D808B1" w14:textId="77777777" w:rsidR="00EF2C0F" w:rsidRDefault="00EF2C0F" w:rsidP="00EF2C0F">
      <w:pPr>
        <w:jc w:val="both"/>
        <w:rPr>
          <w:b/>
          <w:lang w:eastAsia="zh-CN"/>
        </w:rPr>
      </w:pPr>
      <w:r>
        <w:rPr>
          <w:b/>
          <w:lang w:eastAsia="zh-CN"/>
        </w:rPr>
        <w:t xml:space="preserve">Format </w:t>
      </w:r>
    </w:p>
    <w:p w14:paraId="01D23749" w14:textId="77777777" w:rsidR="00EF2C0F" w:rsidRDefault="00EF2C0F" w:rsidP="00EF2C0F">
      <w:pPr>
        <w:jc w:val="both"/>
        <w:rPr>
          <w:iCs/>
          <w:color w:val="000000"/>
        </w:rPr>
      </w:pPr>
      <w:r>
        <w:rPr>
          <w:lang w:eastAsia="zh-CN"/>
        </w:rPr>
        <w:t xml:space="preserve">For NTN, </w:t>
      </w:r>
      <w:r>
        <w:rPr>
          <w:iCs/>
          <w:color w:val="000000"/>
        </w:rPr>
        <w:t>the RTT in NTN can be much larger than the RTT in terrestrial network, considering the large propagation delay. Since the common propagation delay can be compensated,</w:t>
      </w:r>
      <w:r>
        <w:rPr>
          <w:iCs/>
          <w:color w:val="000000"/>
          <w:lang w:eastAsia="zh-CN"/>
        </w:rPr>
        <w:t xml:space="preserve"> then </w:t>
      </w:r>
      <w:r>
        <w:rPr>
          <w:iCs/>
          <w:color w:val="000000"/>
        </w:rPr>
        <w:t>the NTN PRACH signal design will depend on the relative propagation delay, which is limited up to 200km in current specifications regarding TA range</w:t>
      </w:r>
      <w:r>
        <w:rPr>
          <w:iCs/>
          <w:color w:val="000000"/>
          <w:lang w:eastAsia="zh-CN"/>
        </w:rPr>
        <w:t>.</w:t>
      </w:r>
      <w:r>
        <w:rPr>
          <w:iCs/>
          <w:color w:val="000000"/>
        </w:rPr>
        <w:t xml:space="preserve"> Therefore, existing PRACH design can support NTN operation. </w:t>
      </w:r>
    </w:p>
    <w:p w14:paraId="789F9BD8" w14:textId="77777777" w:rsidR="00EF2C0F" w:rsidRDefault="00EF2C0F" w:rsidP="00EF2C0F">
      <w:pPr>
        <w:jc w:val="both"/>
        <w:rPr>
          <w:lang w:eastAsia="zh-CN"/>
        </w:rPr>
      </w:pPr>
      <w:r>
        <w:rPr>
          <w:iCs/>
          <w:color w:val="000000"/>
          <w:lang w:eastAsia="zh-CN"/>
        </w:rPr>
        <w:t xml:space="preserve">Regarding the PRACH format for SAN requirement, </w:t>
      </w:r>
      <w:r>
        <w:rPr>
          <w:lang w:eastAsia="zh-CN"/>
        </w:rPr>
        <w:t>In Rel-15, different PRACH format are considered to requirement, including format0, A2, B4, C2, where format 0 is used for normal cell coverage. We are also open to further discuss whether format 1 and format 2 are needed to support large coverage</w:t>
      </w:r>
    </w:p>
    <w:p w14:paraId="1E2AB3BF" w14:textId="77777777" w:rsidR="00EF2C0F" w:rsidRDefault="00EF2C0F" w:rsidP="00EF2C0F">
      <w:pPr>
        <w:jc w:val="both"/>
        <w:rPr>
          <w:iCs/>
          <w:color w:val="000000"/>
          <w:lang w:eastAsia="zh-CN"/>
        </w:rPr>
      </w:pPr>
      <w:r>
        <w:rPr>
          <w:lang w:eastAsia="zh-CN"/>
        </w:rPr>
        <w:lastRenderedPageBreak/>
        <w:t>Then, we prefer to apply format 0 for SAN PRACH requirement.</w:t>
      </w:r>
    </w:p>
    <w:p w14:paraId="673E5DC2" w14:textId="77777777" w:rsidR="00EF2C0F" w:rsidRDefault="00EF2C0F" w:rsidP="00EF2C0F">
      <w:pPr>
        <w:jc w:val="both"/>
        <w:rPr>
          <w:b/>
          <w:lang w:eastAsia="zh-CN"/>
        </w:rPr>
      </w:pPr>
      <w:r>
        <w:rPr>
          <w:b/>
          <w:lang w:eastAsia="zh-CN"/>
        </w:rPr>
        <w:t>Proposal 5: RAN4 define SAN PRACH requirement with format 0, FFS on format 1 and format 2</w:t>
      </w:r>
    </w:p>
    <w:p w14:paraId="5E9FBE3B" w14:textId="77777777" w:rsidR="00EF2C0F" w:rsidRDefault="00EF2C0F" w:rsidP="00EF2C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Pr>
          <w:rFonts w:ascii="Arial" w:eastAsia="宋体" w:hAnsi="Arial" w:cs="Times New Roman"/>
          <w:sz w:val="36"/>
          <w:szCs w:val="20"/>
          <w:lang w:val="en-GB"/>
        </w:rPr>
        <w:tab/>
      </w:r>
      <w:r>
        <w:rPr>
          <w:rFonts w:ascii="Arial" w:eastAsia="宋体" w:hAnsi="Arial" w:cs="Times New Roman"/>
          <w:sz w:val="36"/>
          <w:szCs w:val="20"/>
          <w:lang w:val="en-GB" w:eastAsia="zh-CN"/>
        </w:rPr>
        <w:t xml:space="preserve">Conclusion </w:t>
      </w:r>
    </w:p>
    <w:p w14:paraId="3151C6B6" w14:textId="77777777" w:rsidR="00EF2C0F" w:rsidRDefault="00EF2C0F" w:rsidP="00EF2C0F">
      <w:pPr>
        <w:jc w:val="both"/>
        <w:rPr>
          <w:lang w:eastAsia="zh-CN"/>
        </w:rPr>
      </w:pPr>
      <w:r>
        <w:rPr>
          <w:lang w:eastAsia="zh-CN"/>
        </w:rPr>
        <w:t>In this contribution, the overview on the test scope on SAN requirement is provided</w:t>
      </w:r>
    </w:p>
    <w:p w14:paraId="2940EF76" w14:textId="77777777" w:rsidR="00EF2C0F" w:rsidRDefault="00EF2C0F" w:rsidP="00EF2C0F">
      <w:pPr>
        <w:jc w:val="both"/>
        <w:rPr>
          <w:b/>
          <w:lang w:eastAsia="zh-CN"/>
        </w:rPr>
      </w:pPr>
      <w:r>
        <w:rPr>
          <w:b/>
          <w:lang w:eastAsia="zh-CN"/>
        </w:rPr>
        <w:t xml:space="preserve">Proposal 1: No 2-step RACH case is considered for SAN requirement </w:t>
      </w:r>
    </w:p>
    <w:p w14:paraId="3B2F5650" w14:textId="77777777" w:rsidR="00EF2C0F" w:rsidRDefault="00EF2C0F" w:rsidP="00EF2C0F">
      <w:pPr>
        <w:jc w:val="both"/>
        <w:rPr>
          <w:b/>
          <w:lang w:eastAsia="zh-CN"/>
        </w:rPr>
      </w:pPr>
      <w:r>
        <w:rPr>
          <w:b/>
          <w:lang w:eastAsia="zh-CN"/>
        </w:rPr>
        <w:t>Proposal 2: RAN4 define SAN requirement with 5MHz/20MHz for 15KHz SCS, and 5MHz/20MHz for 30KHz SCS.</w:t>
      </w:r>
    </w:p>
    <w:p w14:paraId="220F09BD" w14:textId="77777777" w:rsidR="00EF2C0F" w:rsidRDefault="00EF2C0F" w:rsidP="00EF2C0F">
      <w:pPr>
        <w:jc w:val="both"/>
        <w:rPr>
          <w:b/>
          <w:lang w:eastAsia="zh-CN"/>
        </w:rPr>
      </w:pPr>
      <w:r>
        <w:rPr>
          <w:b/>
          <w:lang w:eastAsia="zh-CN"/>
        </w:rPr>
        <w:t>Proposal 3: RAN4 define SAN requirement with 2 Rx only</w:t>
      </w:r>
    </w:p>
    <w:p w14:paraId="35F566DC" w14:textId="77777777" w:rsidR="00EF2C0F" w:rsidRDefault="00EF2C0F" w:rsidP="00EF2C0F">
      <w:pPr>
        <w:jc w:val="both"/>
        <w:rPr>
          <w:b/>
          <w:lang w:eastAsia="zh-CN"/>
        </w:rPr>
      </w:pPr>
      <w:r>
        <w:rPr>
          <w:b/>
          <w:lang w:eastAsia="zh-CN"/>
        </w:rPr>
        <w:t xml:space="preserve">Proposal 4: RAN4 define SAN requirement with CP-OFDM only </w:t>
      </w:r>
    </w:p>
    <w:p w14:paraId="2277DF8A" w14:textId="77777777" w:rsidR="00EF2C0F" w:rsidRDefault="00EF2C0F" w:rsidP="00EF2C0F">
      <w:pPr>
        <w:jc w:val="both"/>
        <w:rPr>
          <w:b/>
          <w:lang w:eastAsia="zh-CN"/>
        </w:rPr>
      </w:pPr>
      <w:r>
        <w:rPr>
          <w:b/>
          <w:lang w:eastAsia="zh-CN"/>
        </w:rPr>
        <w:t>Proposal 5: RAN4 define SAN PRACH requirement with format 0, FFS on format 1 and format 2</w:t>
      </w:r>
    </w:p>
    <w:p w14:paraId="6BC76DE6" w14:textId="77777777" w:rsidR="00EF2C0F" w:rsidRDefault="00EF2C0F" w:rsidP="00EF2C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CCFF64E" w14:textId="77777777" w:rsidR="00EF2C0F" w:rsidRDefault="00EF2C0F" w:rsidP="00EF2C0F">
      <w:pPr>
        <w:pStyle w:val="Reference"/>
      </w:pPr>
      <w:r>
        <w:t xml:space="preserve">R4-2207198, </w:t>
      </w:r>
      <w:r>
        <w:rPr>
          <w:rFonts w:cs="Arial"/>
          <w:color w:val="000000"/>
          <w:sz w:val="22"/>
        </w:rPr>
        <w:t>WF on NTN SAN demodulation requirements, Huawei</w:t>
      </w:r>
    </w:p>
    <w:p w14:paraId="312901F4" w14:textId="77777777" w:rsidR="00EF2C0F" w:rsidRDefault="00EF2C0F" w:rsidP="00EF2C0F">
      <w:pPr>
        <w:jc w:val="both"/>
        <w:rPr>
          <w:lang w:val="en-GB" w:eastAsia="zh-CN"/>
        </w:rPr>
      </w:pPr>
    </w:p>
    <w:p w14:paraId="3D2DCD44" w14:textId="77777777" w:rsidR="005C43F0" w:rsidRPr="00EF2C0F" w:rsidRDefault="005C43F0">
      <w:pPr>
        <w:rPr>
          <w:lang w:val="en-GB"/>
        </w:rPr>
      </w:pPr>
    </w:p>
    <w:sectPr w:rsidR="005C43F0" w:rsidRPr="00EF2C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636E4714"/>
    <w:multiLevelType w:val="hybridMultilevel"/>
    <w:tmpl w:val="101EB470"/>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9F1"/>
    <w:rsid w:val="002829F1"/>
    <w:rsid w:val="002E5FD4"/>
    <w:rsid w:val="005C43F0"/>
    <w:rsid w:val="00EF2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BE931"/>
  <w15:chartTrackingRefBased/>
  <w15:docId w15:val="{162F2684-FB57-4121-AF44-13516E05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C0F"/>
    <w:pPr>
      <w:spacing w:after="160" w:line="254" w:lineRule="auto"/>
    </w:pPr>
    <w:rPr>
      <w:rFonts w:ascii="Times New Roman" w:hAnsi="Times New Roman"/>
      <w:kern w:val="0"/>
      <w:sz w:val="20"/>
      <w:lang w:eastAsia="en-US"/>
    </w:rPr>
  </w:style>
  <w:style w:type="paragraph" w:styleId="Heading2">
    <w:name w:val="heading 2"/>
    <w:basedOn w:val="Normal"/>
    <w:next w:val="Normal"/>
    <w:link w:val="Heading2Char"/>
    <w:uiPriority w:val="9"/>
    <w:semiHidden/>
    <w:unhideWhenUsed/>
    <w:qFormat/>
    <w:rsid w:val="00EF2C0F"/>
    <w:pPr>
      <w:keepNext/>
      <w:keepLines/>
      <w:spacing w:before="40" w:after="120" w:line="256"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F2C0F"/>
    <w:rPr>
      <w:rFonts w:ascii="Arial" w:eastAsiaTheme="majorEastAsia" w:hAnsi="Arial" w:cstheme="majorBidi"/>
      <w:kern w:val="0"/>
      <w:sz w:val="28"/>
      <w:szCs w:val="2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EF2C0F"/>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EF2C0F"/>
    <w:pPr>
      <w:widowControl w:val="0"/>
    </w:pPr>
    <w:rPr>
      <w:rFonts w:ascii="Arial" w:hAnsi="Arial" w:cs="Arial"/>
      <w:b/>
      <w:noProof/>
      <w:sz w:val="18"/>
      <w:lang w:val="en-GB"/>
    </w:rPr>
  </w:style>
  <w:style w:type="character" w:customStyle="1" w:styleId="HeaderChar1">
    <w:name w:val="Header Char1"/>
    <w:basedOn w:val="DefaultParagraphFont"/>
    <w:uiPriority w:val="99"/>
    <w:semiHidden/>
    <w:rsid w:val="00EF2C0F"/>
    <w:rPr>
      <w:rFonts w:ascii="Times New Roman" w:hAnsi="Times New Roman"/>
      <w:kern w:val="0"/>
      <w:sz w:val="18"/>
      <w:szCs w:val="18"/>
      <w:lang w:eastAsia="en-US"/>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locked/>
    <w:rsid w:val="00EF2C0F"/>
    <w:rPr>
      <w:rFonts w:ascii="Times New Roman" w:eastAsia="Times New Roman" w:hAnsi="Times New Roman" w:cs="Times New Roman"/>
      <w:sz w:val="20"/>
      <w:szCs w:val="20"/>
      <w:lang w:val="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EF2C0F"/>
    <w:pPr>
      <w:spacing w:after="0" w:line="240" w:lineRule="auto"/>
      <w:ind w:left="720"/>
      <w:contextualSpacing/>
    </w:pPr>
    <w:rPr>
      <w:rFonts w:eastAsia="Times New Roman" w:cs="Times New Roman"/>
      <w:kern w:val="2"/>
      <w:szCs w:val="20"/>
      <w:lang w:val="en-GB" w:eastAsia="zh-CN"/>
    </w:rPr>
  </w:style>
  <w:style w:type="character" w:customStyle="1" w:styleId="TAHCar">
    <w:name w:val="TAH Car"/>
    <w:link w:val="TAH"/>
    <w:qFormat/>
    <w:locked/>
    <w:rsid w:val="00EF2C0F"/>
    <w:rPr>
      <w:rFonts w:ascii="Arial" w:eastAsia="Times New Roman" w:hAnsi="Arial" w:cs="Times New Roman"/>
      <w:b/>
      <w:sz w:val="18"/>
      <w:szCs w:val="20"/>
      <w:lang w:val="en-GB" w:eastAsia="en-GB"/>
    </w:rPr>
  </w:style>
  <w:style w:type="paragraph" w:customStyle="1" w:styleId="TAH">
    <w:name w:val="TAH"/>
    <w:basedOn w:val="Normal"/>
    <w:link w:val="TAHCar"/>
    <w:qFormat/>
    <w:rsid w:val="00EF2C0F"/>
    <w:pPr>
      <w:keepNext/>
      <w:keepLines/>
      <w:overflowPunct w:val="0"/>
      <w:autoSpaceDE w:val="0"/>
      <w:autoSpaceDN w:val="0"/>
      <w:adjustRightInd w:val="0"/>
      <w:spacing w:after="0" w:line="240" w:lineRule="auto"/>
      <w:jc w:val="center"/>
    </w:pPr>
    <w:rPr>
      <w:rFonts w:ascii="Arial" w:eastAsia="Times New Roman" w:hAnsi="Arial" w:cs="Times New Roman"/>
      <w:b/>
      <w:kern w:val="2"/>
      <w:sz w:val="18"/>
      <w:szCs w:val="20"/>
      <w:lang w:val="en-GB" w:eastAsia="en-GB"/>
    </w:rPr>
  </w:style>
  <w:style w:type="paragraph" w:customStyle="1" w:styleId="Reference">
    <w:name w:val="Reference"/>
    <w:basedOn w:val="Normal"/>
    <w:qFormat/>
    <w:rsid w:val="00EF2C0F"/>
    <w:pPr>
      <w:numPr>
        <w:numId w:val="1"/>
      </w:numPr>
      <w:overflowPunct w:val="0"/>
      <w:autoSpaceDE w:val="0"/>
      <w:autoSpaceDN w:val="0"/>
      <w:adjustRightInd w:val="0"/>
      <w:spacing w:after="120" w:line="240" w:lineRule="auto"/>
      <w:jc w:val="both"/>
    </w:pPr>
    <w:rPr>
      <w:rFonts w:ascii="Arial" w:hAnsi="Arial" w:cs="Times New Roman"/>
      <w:szCs w:val="20"/>
      <w:lang w:val="en-GB" w:eastAsia="zh-CN"/>
    </w:rPr>
  </w:style>
  <w:style w:type="character" w:customStyle="1" w:styleId="TACChar">
    <w:name w:val="TAC Char"/>
    <w:link w:val="TAC"/>
    <w:qFormat/>
    <w:locked/>
    <w:rsid w:val="00EF2C0F"/>
    <w:rPr>
      <w:rFonts w:ascii="Arial" w:hAnsi="Arial" w:cs="Times New Roman"/>
      <w:sz w:val="18"/>
      <w:szCs w:val="20"/>
      <w:lang w:val="en-GB"/>
    </w:rPr>
  </w:style>
  <w:style w:type="paragraph" w:customStyle="1" w:styleId="TAC">
    <w:name w:val="TAC"/>
    <w:basedOn w:val="Normal"/>
    <w:link w:val="TACChar"/>
    <w:qFormat/>
    <w:rsid w:val="00EF2C0F"/>
    <w:pPr>
      <w:keepNext/>
      <w:keepLines/>
      <w:spacing w:after="0" w:line="240" w:lineRule="auto"/>
      <w:jc w:val="center"/>
    </w:pPr>
    <w:rPr>
      <w:rFonts w:ascii="Arial" w:hAnsi="Arial" w:cs="Times New Roman"/>
      <w:kern w:val="2"/>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6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643</Words>
  <Characters>3668</Characters>
  <Application>Microsoft Office Word</Application>
  <DocSecurity>0</DocSecurity>
  <Lines>30</Lines>
  <Paragraphs>8</Paragraphs>
  <ScaleCrop>false</ScaleCrop>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Yang/PHY Research &amp; Standard Lab /SRC-Beijing/Staff Engineer/Samsung Electronics</dc:creator>
  <cp:keywords/>
  <dc:description/>
  <cp:lastModifiedBy>Yunchuan Yang/PHY Research &amp; Standard Lab /SRC-Beijing/Staff Engineer/Samsung Electronics</cp:lastModifiedBy>
  <cp:revision>3</cp:revision>
  <dcterms:created xsi:type="dcterms:W3CDTF">2022-04-25T20:32:00Z</dcterms:created>
  <dcterms:modified xsi:type="dcterms:W3CDTF">2022-04-25T20:33:00Z</dcterms:modified>
</cp:coreProperties>
</file>